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581477" w:rsidRDefault="003956C1" w:rsidP="0058147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581477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581477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581477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581477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581477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581477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581477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5814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5814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5E7B5D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Cinkota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autóbusz járműtelep</w:t>
            </w:r>
            <w:r w:rsidR="00DE0AD5"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983E1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     1165 Budapest, Bökényföldi út 122.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5E7B5D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5E7B5D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7C" w:rsidRPr="00581477" w:rsidRDefault="005E7B5D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idejű,</w:t>
            </w:r>
            <w:r w:rsidR="00CC1C7C"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3956C1" w:rsidRPr="00581477" w:rsidRDefault="005E7B5D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90 napos felmondási idővel</w:t>
            </w:r>
          </w:p>
        </w:tc>
      </w:tr>
    </w:tbl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581477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4140"/>
      </w:tblGrid>
      <w:tr w:rsidR="003016CC" w:rsidRPr="00C04035" w:rsidTr="000B4825">
        <w:tc>
          <w:tcPr>
            <w:tcW w:w="2126" w:type="dxa"/>
          </w:tcPr>
          <w:p w:rsidR="003016CC" w:rsidRPr="00C04035" w:rsidRDefault="003016CC" w:rsidP="003956C1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4035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140" w:type="dxa"/>
          </w:tcPr>
          <w:p w:rsidR="003016CC" w:rsidRPr="00C04035" w:rsidRDefault="003016CC" w:rsidP="000B4825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4035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C04035" w:rsidTr="000B4825">
        <w:tc>
          <w:tcPr>
            <w:tcW w:w="2126" w:type="dxa"/>
          </w:tcPr>
          <w:p w:rsidR="003016CC" w:rsidRPr="00C04035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04035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4140" w:type="dxa"/>
          </w:tcPr>
          <w:p w:rsidR="003016CC" w:rsidRPr="00C04035" w:rsidRDefault="00454F11" w:rsidP="000B4825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04035">
              <w:rPr>
                <w:rFonts w:eastAsia="Times New Roman" w:cs="Times New Roman"/>
                <w:sz w:val="24"/>
                <w:szCs w:val="24"/>
                <w:lang w:eastAsia="hu-HU"/>
              </w:rPr>
              <w:t>3 x 16 A</w:t>
            </w:r>
          </w:p>
        </w:tc>
      </w:tr>
      <w:tr w:rsidR="003C5158" w:rsidRPr="00C04035" w:rsidTr="000B4825">
        <w:tc>
          <w:tcPr>
            <w:tcW w:w="2126" w:type="dxa"/>
          </w:tcPr>
          <w:p w:rsidR="003C5158" w:rsidRPr="00C04035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04035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4140" w:type="dxa"/>
          </w:tcPr>
          <w:p w:rsidR="003C5158" w:rsidRPr="00C04035" w:rsidRDefault="008A37BC" w:rsidP="000B4825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C04035">
              <w:rPr>
                <w:rFonts w:eastAsia="Times New Roman" w:cs="Times New Roman"/>
                <w:sz w:val="24"/>
                <w:szCs w:val="24"/>
                <w:lang w:eastAsia="hu-HU"/>
              </w:rPr>
              <w:t>max</w:t>
            </w:r>
            <w:proofErr w:type="spellEnd"/>
            <w:r w:rsidRPr="00C04035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. </w:t>
            </w:r>
            <w:r w:rsidR="00454F11" w:rsidRPr="00C04035">
              <w:rPr>
                <w:rFonts w:eastAsia="Times New Roman" w:cs="Times New Roman"/>
                <w:sz w:val="24"/>
                <w:szCs w:val="24"/>
                <w:lang w:eastAsia="hu-HU"/>
              </w:rPr>
              <w:t>20 m3/hó</w:t>
            </w:r>
          </w:p>
        </w:tc>
      </w:tr>
      <w:tr w:rsidR="003C5158" w:rsidRPr="00C04035" w:rsidTr="000B4825">
        <w:tc>
          <w:tcPr>
            <w:tcW w:w="2126" w:type="dxa"/>
          </w:tcPr>
          <w:p w:rsidR="003C5158" w:rsidRPr="00C04035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04035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4140" w:type="dxa"/>
          </w:tcPr>
          <w:p w:rsidR="003C5158" w:rsidRPr="00C04035" w:rsidRDefault="00A1557D" w:rsidP="000B4825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nincs</w:t>
            </w:r>
          </w:p>
        </w:tc>
      </w:tr>
      <w:tr w:rsidR="003C5158" w:rsidRPr="00DB349F" w:rsidTr="000B4825">
        <w:tc>
          <w:tcPr>
            <w:tcW w:w="2126" w:type="dxa"/>
          </w:tcPr>
          <w:p w:rsidR="003C5158" w:rsidRPr="00C04035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04035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fűtés</w:t>
            </w:r>
          </w:p>
        </w:tc>
        <w:tc>
          <w:tcPr>
            <w:tcW w:w="4140" w:type="dxa"/>
          </w:tcPr>
          <w:p w:rsidR="003C5158" w:rsidRPr="00DB349F" w:rsidRDefault="00454F11" w:rsidP="000B4825">
            <w:pPr>
              <w:pStyle w:val="Listaszerbekezds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04035">
              <w:rPr>
                <w:rFonts w:eastAsia="Times New Roman" w:cs="Times New Roman"/>
                <w:sz w:val="24"/>
                <w:szCs w:val="24"/>
                <w:lang w:eastAsia="hu-HU"/>
              </w:rPr>
              <w:t>központilag fűtött épületrész, külön díj nem kerül felszámolásra</w:t>
            </w:r>
          </w:p>
        </w:tc>
      </w:tr>
    </w:tbl>
    <w:p w:rsidR="00EF54CD" w:rsidRPr="00581477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0C6FFB" w:rsidP="00C34C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büfé</w:t>
      </w:r>
      <w:r w:rsidR="000B38B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teljes berendezése </w:t>
      </w:r>
      <w:r w:rsidR="00DE0AD5"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nyerte</w:t>
      </w:r>
      <w:r w:rsidR="000B38B7">
        <w:rPr>
          <w:rFonts w:eastAsia="Times New Roman" w:cs="Times New Roman"/>
          <w:color w:val="000000"/>
          <w:sz w:val="24"/>
          <w:szCs w:val="24"/>
          <w:lang w:eastAsia="hu-HU"/>
        </w:rPr>
        <w:t>s pályázó feladata</w:t>
      </w:r>
      <w:r w:rsidR="00DE0AD5" w:rsidRPr="00581477">
        <w:rPr>
          <w:rFonts w:eastAsia="Times New Roman" w:cs="Times New Roman"/>
          <w:color w:val="000000"/>
          <w:sz w:val="24"/>
          <w:szCs w:val="24"/>
          <w:lang w:eastAsia="hu-HU"/>
        </w:rPr>
        <w:t>.</w:t>
      </w:r>
      <w:r w:rsidR="000B38B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Ajánlott nyitvatartási idő naponta délután 18.00 órától másnap délután 14.00 óráig.</w:t>
      </w:r>
    </w:p>
    <w:p w:rsidR="00F00D8D" w:rsidRPr="00581477" w:rsidRDefault="00F00D8D" w:rsidP="00F00D8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tartó-pultból tálalt, vagy a mikrosütőben felmelegíthető ételek jöhetnek számításba.</w:t>
      </w:r>
    </w:p>
    <w:p w:rsidR="00D322DA" w:rsidRPr="00581477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</w:t>
      </w:r>
      <w:r w:rsidR="00610D43">
        <w:rPr>
          <w:rFonts w:eastAsia="Times New Roman" w:cs="Times New Roman"/>
          <w:b/>
          <w:sz w:val="24"/>
          <w:szCs w:val="24"/>
          <w:lang w:eastAsia="hu-HU"/>
        </w:rPr>
        <w:t xml:space="preserve">pályázat beadásának helye,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ideje: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581477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581477">
        <w:rPr>
          <w:rFonts w:eastAsia="Times New Roman" w:cs="Times New Roman"/>
          <w:sz w:val="24"/>
          <w:szCs w:val="24"/>
          <w:lang w:eastAsia="hu-HU"/>
        </w:rPr>
        <w:t>i</w:t>
      </w:r>
      <w:r w:rsidRPr="00581477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581477" w:rsidRDefault="00506930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3701E3">
        <w:rPr>
          <w:rFonts w:eastAsia="Times New Roman" w:cs="Times New Roman"/>
          <w:b/>
          <w:color w:val="000000"/>
          <w:sz w:val="24"/>
          <w:szCs w:val="24"/>
          <w:lang w:eastAsia="hu-HU"/>
        </w:rPr>
        <w:t>202</w:t>
      </w:r>
      <w:r w:rsidR="001D1A1C" w:rsidRPr="003701E3">
        <w:rPr>
          <w:rFonts w:eastAsia="Times New Roman" w:cs="Times New Roman"/>
          <w:b/>
          <w:color w:val="000000"/>
          <w:sz w:val="24"/>
          <w:szCs w:val="24"/>
          <w:lang w:eastAsia="hu-HU"/>
        </w:rPr>
        <w:t>3</w:t>
      </w:r>
      <w:r w:rsidR="003701E3">
        <w:rPr>
          <w:rFonts w:eastAsia="Times New Roman" w:cs="Times New Roman"/>
          <w:b/>
          <w:color w:val="000000"/>
          <w:sz w:val="24"/>
          <w:szCs w:val="24"/>
          <w:lang w:eastAsia="hu-HU"/>
        </w:rPr>
        <w:t>. május 18</w:t>
      </w:r>
      <w:r w:rsidRPr="003701E3">
        <w:rPr>
          <w:rFonts w:eastAsia="Times New Roman" w:cs="Times New Roman"/>
          <w:b/>
          <w:sz w:val="24"/>
          <w:szCs w:val="24"/>
          <w:lang w:eastAsia="hu-HU"/>
        </w:rPr>
        <w:t>-á</w:t>
      </w:r>
      <w:r w:rsidR="00610D43" w:rsidRPr="003701E3">
        <w:rPr>
          <w:rFonts w:eastAsia="Times New Roman" w:cs="Times New Roman"/>
          <w:b/>
          <w:sz w:val="24"/>
          <w:szCs w:val="24"/>
          <w:lang w:eastAsia="hu-HU"/>
        </w:rPr>
        <w:t xml:space="preserve">n </w:t>
      </w:r>
      <w:r w:rsidR="006729C3" w:rsidRPr="003701E3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FC1BE8" w:rsidRPr="003701E3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3701E3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3701E3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FC1BE8" w:rsidRPr="003701E3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3701E3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</w:p>
    <w:p w:rsidR="000C6FFB" w:rsidRPr="00581477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581477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581477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581477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581477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581477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581477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581477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581477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58147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581477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581477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581477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581477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58147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58147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581477">
        <w:rPr>
          <w:rFonts w:eastAsia="Times New Roman" w:cs="Times New Roman"/>
          <w:sz w:val="24"/>
          <w:szCs w:val="24"/>
          <w:lang w:eastAsia="hu-HU"/>
        </w:rPr>
        <w:t>korábban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58147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581477">
        <w:rPr>
          <w:rFonts w:eastAsia="Times New Roman" w:cs="Times New Roman"/>
          <w:sz w:val="24"/>
          <w:szCs w:val="24"/>
          <w:lang w:eastAsia="hu-HU"/>
        </w:rPr>
        <w:t>határidejétől</w:t>
      </w:r>
      <w:proofErr w:type="spellEnd"/>
      <w:r w:rsidRPr="00581477">
        <w:rPr>
          <w:rFonts w:eastAsia="Times New Roman" w:cs="Times New Roman"/>
          <w:sz w:val="24"/>
          <w:szCs w:val="24"/>
          <w:lang w:eastAsia="hu-HU"/>
        </w:rPr>
        <w:t xml:space="preserve"> számított 2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58147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581477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581477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szolgál: Ingatlanhasznosítási Osztály (tel.: 461-6500/</w:t>
      </w:r>
      <w:r w:rsidR="00E83463">
        <w:rPr>
          <w:rFonts w:eastAsia="Times New Roman" w:cs="Times New Roman"/>
          <w:b/>
          <w:sz w:val="24"/>
          <w:szCs w:val="24"/>
          <w:lang w:eastAsia="hu-HU"/>
        </w:rPr>
        <w:t>11462, 11069</w:t>
      </w:r>
      <w:r w:rsidR="00881F11">
        <w:rPr>
          <w:rFonts w:eastAsia="Times New Roman" w:cs="Times New Roman"/>
          <w:b/>
          <w:sz w:val="24"/>
          <w:szCs w:val="24"/>
          <w:lang w:eastAsia="hu-HU"/>
        </w:rPr>
        <w:t>, vagy 06-70-390-8418 és 06-20-459-9110</w:t>
      </w:r>
      <w:r w:rsidR="00E83463">
        <w:rPr>
          <w:rFonts w:eastAsia="Times New Roman" w:cs="Times New Roman"/>
          <w:b/>
          <w:sz w:val="24"/>
          <w:szCs w:val="24"/>
          <w:lang w:eastAsia="hu-HU"/>
        </w:rPr>
        <w:t xml:space="preserve">) és </w:t>
      </w:r>
      <w:proofErr w:type="spellStart"/>
      <w:r w:rsidR="00E83463">
        <w:rPr>
          <w:rFonts w:eastAsia="Times New Roman" w:cs="Times New Roman"/>
          <w:b/>
          <w:sz w:val="24"/>
          <w:szCs w:val="24"/>
          <w:lang w:eastAsia="hu-HU"/>
        </w:rPr>
        <w:t>Cinkota</w:t>
      </w:r>
      <w:proofErr w:type="spellEnd"/>
      <w:r w:rsidR="00E83463">
        <w:rPr>
          <w:rFonts w:eastAsia="Times New Roman" w:cs="Times New Roman"/>
          <w:b/>
          <w:sz w:val="24"/>
          <w:szCs w:val="24"/>
          <w:lang w:eastAsia="hu-HU"/>
        </w:rPr>
        <w:t xml:space="preserve"> Divízió g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ondnokság (tel.: </w:t>
      </w:r>
      <w:r w:rsidR="00E83463">
        <w:rPr>
          <w:b/>
          <w:bCs/>
          <w:sz w:val="24"/>
          <w:szCs w:val="24"/>
          <w:lang w:eastAsia="hu-HU"/>
        </w:rPr>
        <w:t>06-20-459-9191</w:t>
      </w:r>
      <w:r w:rsidRPr="00872E21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FC1BE8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3C5158" w:rsidRPr="00581477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CD7FBB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9A1929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</w:t>
      </w:r>
      <w:r w:rsidR="00DB349F">
        <w:rPr>
          <w:rFonts w:eastAsia="Times New Roman" w:cs="Times New Roman"/>
          <w:b/>
          <w:sz w:val="24"/>
          <w:szCs w:val="24"/>
          <w:lang w:eastAsia="hu-HU"/>
        </w:rPr>
        <w:t xml:space="preserve"> a pály</w:t>
      </w:r>
      <w:r w:rsidR="009A2218">
        <w:rPr>
          <w:rFonts w:eastAsia="Times New Roman" w:cs="Times New Roman"/>
          <w:b/>
          <w:sz w:val="24"/>
          <w:szCs w:val="24"/>
          <w:lang w:eastAsia="hu-HU"/>
        </w:rPr>
        <w:t>ázati időszak alatt hétköznap 07:00-13</w:t>
      </w:r>
      <w:r w:rsidR="00DB349F">
        <w:rPr>
          <w:rFonts w:eastAsia="Times New Roman" w:cs="Times New Roman"/>
          <w:b/>
          <w:sz w:val="24"/>
          <w:szCs w:val="24"/>
          <w:lang w:eastAsia="hu-HU"/>
        </w:rPr>
        <w:t>:00 óra között biztosít lehetőséget.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581477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581477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581477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581477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összeg (</w:t>
      </w:r>
      <w:r w:rsidRPr="00581477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581477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581477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581477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3</w:t>
      </w:r>
      <w:r w:rsidRPr="00581477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581477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581477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5E7406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581477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581477">
        <w:rPr>
          <w:rFonts w:eastAsia="Times New Roman" w:cs="Times New Roman"/>
          <w:sz w:val="24"/>
          <w:szCs w:val="24"/>
          <w:lang w:eastAsia="hu-HU"/>
        </w:rPr>
        <w:t>lesz.</w:t>
      </w:r>
    </w:p>
    <w:p w:rsidR="00581477" w:rsidRDefault="00581477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Pr="00581477" w:rsidRDefault="00DB349F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E7406" w:rsidRPr="00581477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581477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0C6FFB" w:rsidRPr="00581477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-ban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2B1549" w:rsidRPr="00581477" w:rsidRDefault="00AB4D54" w:rsidP="00F00D8D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2B1549" w:rsidRPr="00581477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581477">
        <w:rPr>
          <w:rFonts w:eastAsia="Times New Roman" w:cs="Times New Roman"/>
          <w:sz w:val="24"/>
          <w:szCs w:val="24"/>
          <w:lang w:eastAsia="hu-HU"/>
        </w:rPr>
        <w:t>következőek</w:t>
      </w:r>
      <w:proofErr w:type="spellEnd"/>
      <w:r w:rsidRPr="00581477">
        <w:rPr>
          <w:rFonts w:eastAsia="Times New Roman" w:cs="Times New Roman"/>
          <w:sz w:val="24"/>
          <w:szCs w:val="24"/>
          <w:lang w:eastAsia="hu-HU"/>
        </w:rPr>
        <w:t xml:space="preserve"> lineárisan arányosan kevesebbet.</w:t>
      </w:r>
    </w:p>
    <w:p w:rsidR="002B1549" w:rsidRPr="00581477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581477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58147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58147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581477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581477">
        <w:rPr>
          <w:rFonts w:eastAsia="Times New Roman" w:cs="Times New Roman"/>
          <w:sz w:val="24"/>
          <w:szCs w:val="24"/>
          <w:lang w:eastAsia="hu-HU"/>
        </w:rPr>
        <w:t>lehet</w:t>
      </w:r>
      <w:r w:rsidRPr="00581477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581477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581477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581477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581477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581477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581477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581477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581477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581477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termék </w:t>
      </w:r>
      <w:proofErr w:type="spellStart"/>
      <w:r w:rsidR="00ED1A51" w:rsidRPr="00581477">
        <w:rPr>
          <w:rFonts w:eastAsia="Times New Roman" w:cs="Times New Roman"/>
          <w:sz w:val="24"/>
          <w:szCs w:val="24"/>
          <w:lang w:eastAsia="hu-HU"/>
        </w:rPr>
        <w:t>árlistát</w:t>
      </w:r>
      <w:proofErr w:type="spellEnd"/>
      <w:r w:rsidR="005C7BD8" w:rsidRPr="00581477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581477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>)</w:t>
      </w:r>
      <w:r w:rsidRPr="00581477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58147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lastRenderedPageBreak/>
        <w:t>ha a pályázat benyújtója a jelen kiírásban meghatározottak szerint nem lehet pályázó</w:t>
      </w:r>
      <w:r w:rsidR="007D27C3" w:rsidRPr="00581477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581477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581477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581477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581477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58147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581477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lejárt </w:t>
      </w:r>
      <w:proofErr w:type="gramStart"/>
      <w:r w:rsidRPr="00581477">
        <w:rPr>
          <w:rFonts w:eastAsia="Times New Roman" w:cs="Times New Roman"/>
          <w:sz w:val="24"/>
          <w:szCs w:val="24"/>
          <w:lang w:eastAsia="hu-HU"/>
        </w:rPr>
        <w:t>kötelezettsége</w:t>
      </w:r>
      <w:proofErr w:type="gramEnd"/>
      <w:r w:rsidRPr="00581477">
        <w:rPr>
          <w:rFonts w:eastAsia="Times New Roman" w:cs="Times New Roman"/>
          <w:sz w:val="24"/>
          <w:szCs w:val="24"/>
          <w:lang w:eastAsia="hu-HU"/>
        </w:rPr>
        <w:t xml:space="preserve"> illetve nem áll perben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="007D27C3" w:rsidRPr="00581477">
        <w:rPr>
          <w:rFonts w:eastAsia="Times New Roman" w:cs="Times New Roman"/>
          <w:sz w:val="24"/>
          <w:szCs w:val="24"/>
          <w:lang w:eastAsia="hu-HU"/>
        </w:rPr>
        <w:t>nek</w:t>
      </w:r>
      <w:proofErr w:type="spellEnd"/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581477">
        <w:rPr>
          <w:rFonts w:eastAsia="Times New Roman" w:cs="Times New Roman"/>
          <w:sz w:val="24"/>
          <w:szCs w:val="24"/>
          <w:lang w:eastAsia="hu-HU"/>
        </w:rPr>
        <w:t xml:space="preserve">újtási </w:t>
      </w:r>
      <w:proofErr w:type="spellStart"/>
      <w:r w:rsidR="00C11FCF" w:rsidRPr="00581477">
        <w:rPr>
          <w:rFonts w:eastAsia="Times New Roman" w:cs="Times New Roman"/>
          <w:sz w:val="24"/>
          <w:szCs w:val="24"/>
          <w:lang w:eastAsia="hu-HU"/>
        </w:rPr>
        <w:t>határidejétől</w:t>
      </w:r>
      <w:proofErr w:type="spellEnd"/>
      <w:r w:rsidR="00C11FCF" w:rsidRPr="00581477">
        <w:rPr>
          <w:rFonts w:eastAsia="Times New Roman" w:cs="Times New Roman"/>
          <w:sz w:val="24"/>
          <w:szCs w:val="24"/>
          <w:lang w:eastAsia="hu-HU"/>
        </w:rPr>
        <w:t xml:space="preserve"> számított 2</w:t>
      </w:r>
      <w:r w:rsidR="00954DA2" w:rsidRPr="00581477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58147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581477">
        <w:rPr>
          <w:rFonts w:eastAsia="Times New Roman" w:cs="Times New Roman"/>
          <w:sz w:val="24"/>
          <w:szCs w:val="24"/>
          <w:lang w:eastAsia="hu-HU"/>
        </w:rPr>
        <w:t>BKV Zrt.</w:t>
      </w:r>
    </w:p>
    <w:p w:rsidR="00954DA2" w:rsidRPr="0058147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581477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581477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581477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581477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581477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</w:t>
      </w:r>
      <w:proofErr w:type="spellStart"/>
      <w:r w:rsidRPr="00581477">
        <w:rPr>
          <w:rFonts w:eastAsia="Times New Roman" w:cs="Times New Roman"/>
          <w:sz w:val="24"/>
          <w:szCs w:val="24"/>
          <w:lang w:eastAsia="hu-HU"/>
        </w:rPr>
        <w:t>nek</w:t>
      </w:r>
      <w:proofErr w:type="spellEnd"/>
      <w:r w:rsidRPr="00581477">
        <w:rPr>
          <w:rFonts w:eastAsia="Times New Roman" w:cs="Times New Roman"/>
          <w:sz w:val="24"/>
          <w:szCs w:val="24"/>
          <w:lang w:eastAsia="hu-HU"/>
        </w:rPr>
        <w:t xml:space="preserve">.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581477">
        <w:rPr>
          <w:rFonts w:eastAsia="Times New Roman" w:cs="Times New Roman"/>
          <w:sz w:val="24"/>
          <w:szCs w:val="24"/>
          <w:lang w:eastAsia="hu-HU"/>
        </w:rPr>
        <w:t>határidejéig</w:t>
      </w:r>
      <w:proofErr w:type="spellEnd"/>
      <w:r w:rsidRPr="00581477">
        <w:rPr>
          <w:rFonts w:eastAsia="Times New Roman" w:cs="Times New Roman"/>
          <w:sz w:val="24"/>
          <w:szCs w:val="24"/>
          <w:lang w:eastAsia="hu-HU"/>
        </w:rPr>
        <w:t>, valamint szintén indoklás és költségtérítés nélkül jogosult a</w:t>
      </w:r>
      <w:r w:rsidR="00B564DB" w:rsidRPr="00581477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581477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581477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581477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967A20" w:rsidRPr="00581477" w:rsidRDefault="00967A20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581477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581477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581477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581477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7A63D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Étlap</w:t>
      </w:r>
      <w:r w:rsidR="00DB349F">
        <w:rPr>
          <w:rFonts w:eastAsia="Times New Roman" w:cs="Times New Roman"/>
          <w:b/>
          <w:sz w:val="24"/>
          <w:szCs w:val="24"/>
          <w:lang w:eastAsia="hu-HU"/>
        </w:rPr>
        <w:t xml:space="preserve"> és bérlemény bemutató adatlap</w:t>
      </w:r>
    </w:p>
    <w:p w:rsidR="0039743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743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7437" w:rsidRPr="0058147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7A63D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DB349F" w:rsidRDefault="00DB349F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67A4C" w:rsidRDefault="00667A4C" w:rsidP="005B4E72">
      <w:pPr>
        <w:jc w:val="center"/>
        <w:rPr>
          <w:b/>
          <w:sz w:val="32"/>
          <w:szCs w:val="32"/>
        </w:rPr>
      </w:pPr>
    </w:p>
    <w:p w:rsidR="009A2218" w:rsidRDefault="009A2218" w:rsidP="005B4E72">
      <w:pPr>
        <w:jc w:val="center"/>
        <w:rPr>
          <w:b/>
          <w:sz w:val="32"/>
          <w:szCs w:val="32"/>
        </w:rPr>
      </w:pPr>
    </w:p>
    <w:p w:rsidR="009A2218" w:rsidRDefault="009A2218" w:rsidP="00967A20">
      <w:pPr>
        <w:rPr>
          <w:b/>
          <w:sz w:val="32"/>
          <w:szCs w:val="32"/>
        </w:rPr>
      </w:pPr>
    </w:p>
    <w:p w:rsidR="005B4E72" w:rsidRPr="007E0E41" w:rsidRDefault="005B4E72" w:rsidP="005B4E72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:rsidR="005B4E72" w:rsidRDefault="005B4E72" w:rsidP="005B4E72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5B4E72" w:rsidRDefault="005B4E72" w:rsidP="005B4E72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5B4E72" w:rsidRDefault="005B4E72" w:rsidP="005B4E72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5B4E72" w:rsidRDefault="005B4E72" w:rsidP="005B4E72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proofErr w:type="spellStart"/>
      <w:r>
        <w:t>Capuccino</w:t>
      </w:r>
      <w:proofErr w:type="spellEnd"/>
      <w:r>
        <w:t xml:space="preserve"> ……………………………………….....</w:t>
      </w:r>
      <w:r>
        <w:tab/>
      </w:r>
    </w:p>
    <w:p w:rsidR="005B4E72" w:rsidRDefault="005B4E72" w:rsidP="005B4E72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</w:t>
      </w:r>
      <w:proofErr w:type="gramStart"/>
      <w:r>
        <w:t>…….</w:t>
      </w:r>
      <w:proofErr w:type="gramEnd"/>
      <w:r>
        <w:t>.</w:t>
      </w:r>
    </w:p>
    <w:p w:rsidR="005B4E72" w:rsidRDefault="005B4E72" w:rsidP="005B4E72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  <w:rPr>
          <w:b/>
        </w:rPr>
      </w:pPr>
    </w:p>
    <w:p w:rsidR="005B4E72" w:rsidRPr="000E1192" w:rsidRDefault="005B4E72" w:rsidP="005B4E72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>(</w:t>
      </w:r>
      <w:proofErr w:type="spellStart"/>
      <w:r>
        <w:t>leves+egy</w:t>
      </w:r>
      <w:proofErr w:type="spellEnd"/>
      <w:r>
        <w:t xml:space="preserve">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5B4E72" w:rsidRDefault="005B4E72" w:rsidP="005B4E7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5B4E72" w:rsidRPr="000E1192" w:rsidRDefault="005B4E72" w:rsidP="005B4E72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5B4E72" w:rsidRPr="00A930D3" w:rsidRDefault="005B4E72" w:rsidP="005B4E72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</w:t>
      </w:r>
      <w:proofErr w:type="gramStart"/>
      <w:r>
        <w:t>…….</w:t>
      </w:r>
      <w:proofErr w:type="gramEnd"/>
      <w:r>
        <w:t>.</w:t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5B4E72" w:rsidRPr="00D334FC" w:rsidRDefault="005B4E72" w:rsidP="005B4E72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5B4E72" w:rsidRDefault="005B4E72" w:rsidP="005B4E72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</w:t>
      </w:r>
      <w:proofErr w:type="gramStart"/>
      <w:r>
        <w:t>…….</w:t>
      </w:r>
      <w:proofErr w:type="gramEnd"/>
      <w:r>
        <w:t>.                                    Sütemények ………………………………………</w:t>
      </w:r>
    </w:p>
    <w:p w:rsidR="005B4E72" w:rsidRDefault="005B4E72" w:rsidP="005B4E7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</w:t>
      </w:r>
      <w:proofErr w:type="gramStart"/>
      <w:r>
        <w:t>…….</w:t>
      </w:r>
      <w:proofErr w:type="gramEnd"/>
      <w:r>
        <w:t>.</w:t>
      </w:r>
    </w:p>
    <w:p w:rsidR="005B4E72" w:rsidRDefault="005B4E72" w:rsidP="005B4E72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5B4E72" w:rsidDel="004D11C5" w:rsidRDefault="005B4E72" w:rsidP="005B4E7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D220D0" w:rsidRDefault="005B4E72" w:rsidP="005B4E72">
      <w:pPr>
        <w:spacing w:after="0" w:line="360" w:lineRule="auto"/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</w:p>
    <w:p w:rsidR="005B4E72" w:rsidRDefault="005B4E72" w:rsidP="005B4E7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t>- sonkás …………</w:t>
      </w:r>
      <w:proofErr w:type="gramStart"/>
      <w:r>
        <w:t>…….</w:t>
      </w:r>
      <w:proofErr w:type="gramEnd"/>
      <w:r>
        <w:t>.</w:t>
      </w:r>
    </w:p>
    <w:p w:rsidR="005B4E72" w:rsidRDefault="005B4E72" w:rsidP="005B4E72">
      <w:pPr>
        <w:spacing w:after="0" w:line="360" w:lineRule="auto"/>
      </w:pPr>
      <w:r>
        <w:tab/>
      </w:r>
      <w:r>
        <w:tab/>
        <w:t xml:space="preserve"> - szalámis 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</w:t>
      </w:r>
      <w:proofErr w:type="gramStart"/>
      <w:r>
        <w:t>…….</w:t>
      </w:r>
      <w:proofErr w:type="gramEnd"/>
      <w:r>
        <w:t>.</w:t>
      </w:r>
    </w:p>
    <w:p w:rsidR="00581477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p w:rsidR="00D220D0" w:rsidRPr="009F4DDB" w:rsidRDefault="00D220D0" w:rsidP="00D22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D220D0" w:rsidRPr="009F4DDB" w:rsidRDefault="00D220D0" w:rsidP="00D220D0">
      <w:pPr>
        <w:jc w:val="both"/>
        <w:rPr>
          <w:rFonts w:ascii="Calibri" w:eastAsia="Calibri" w:hAnsi="Calibri" w:cs="Calibri"/>
          <w:i/>
        </w:rPr>
      </w:pPr>
    </w:p>
    <w:p w:rsidR="00D220D0" w:rsidRPr="00AF692E" w:rsidRDefault="00D220D0" w:rsidP="00D220D0">
      <w:pPr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AF692E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AF692E">
        <w:rPr>
          <w:rFonts w:ascii="Calibri" w:eastAsia="Calibri" w:hAnsi="Calibri" w:cs="Calibri"/>
          <w:sz w:val="24"/>
          <w:szCs w:val="24"/>
        </w:rPr>
        <w:t xml:space="preserve"> Budapest, XVI. Bökényföldi út 122.</w:t>
      </w:r>
    </w:p>
    <w:p w:rsidR="00D220D0" w:rsidRPr="00AF692E" w:rsidRDefault="00D220D0" w:rsidP="00D220D0">
      <w:pPr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AF692E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AF692E">
        <w:rPr>
          <w:rFonts w:ascii="Calibri" w:eastAsia="Calibri" w:hAnsi="Calibri" w:cs="Calibri"/>
          <w:sz w:val="24"/>
          <w:szCs w:val="24"/>
        </w:rPr>
        <w:t xml:space="preserve"> 103798</w:t>
      </w:r>
    </w:p>
    <w:p w:rsidR="00D220D0" w:rsidRPr="00AF692E" w:rsidRDefault="00D220D0" w:rsidP="00D220D0">
      <w:pPr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AF692E">
        <w:rPr>
          <w:rFonts w:ascii="Calibri" w:eastAsia="Calibri" w:hAnsi="Calibri" w:cs="Calibri"/>
          <w:i/>
          <w:sz w:val="24"/>
          <w:szCs w:val="24"/>
        </w:rPr>
        <w:t>Leltári szám:</w:t>
      </w:r>
      <w:r w:rsidRPr="00AF692E">
        <w:rPr>
          <w:rFonts w:ascii="Calibri" w:eastAsia="Calibri" w:hAnsi="Calibri" w:cs="Calibri"/>
          <w:sz w:val="24"/>
          <w:szCs w:val="24"/>
        </w:rPr>
        <w:t xml:space="preserve"> LSZ0000636</w:t>
      </w:r>
    </w:p>
    <w:p w:rsidR="00D220D0" w:rsidRPr="00AF692E" w:rsidRDefault="00D220D0" w:rsidP="00D220D0">
      <w:pPr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AF692E">
        <w:rPr>
          <w:rFonts w:ascii="Calibri" w:eastAsia="Calibri" w:hAnsi="Calibri" w:cs="Calibri"/>
          <w:i/>
          <w:sz w:val="24"/>
          <w:szCs w:val="24"/>
        </w:rPr>
        <w:t>Terület:</w:t>
      </w:r>
      <w:r w:rsidRPr="00AF692E">
        <w:rPr>
          <w:rFonts w:ascii="Calibri" w:eastAsia="Calibri" w:hAnsi="Calibri" w:cs="Calibri"/>
          <w:sz w:val="24"/>
          <w:szCs w:val="24"/>
        </w:rPr>
        <w:t xml:space="preserve"> 104,00 m</w:t>
      </w:r>
      <w:r w:rsidRPr="00AF692E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D220D0" w:rsidRPr="00AF692E" w:rsidRDefault="00D220D0" w:rsidP="00D220D0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AF692E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AF692E">
        <w:rPr>
          <w:rFonts w:ascii="Calibri" w:eastAsia="Calibri" w:hAnsi="Calibri" w:cs="Calibri"/>
          <w:sz w:val="24"/>
          <w:szCs w:val="24"/>
        </w:rPr>
        <w:t xml:space="preserve"> Bp.XVI.103798 hrsz H</w:t>
      </w:r>
    </w:p>
    <w:p w:rsidR="00D220D0" w:rsidRPr="009F4DDB" w:rsidRDefault="00D220D0" w:rsidP="00D220D0">
      <w:pPr>
        <w:outlineLvl w:val="2"/>
        <w:rPr>
          <w:rFonts w:ascii="Calibri" w:hAnsi="Calibri" w:cs="Calibri"/>
          <w:b/>
          <w:u w:val="single"/>
        </w:rPr>
      </w:pPr>
    </w:p>
    <w:p w:rsidR="00D220D0" w:rsidRPr="00C10CFD" w:rsidRDefault="00D220D0" w:rsidP="00D220D0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</w:t>
      </w:r>
      <w:r>
        <w:rPr>
          <w:rFonts w:ascii="Calibri" w:hAnsi="Calibri" w:cs="Calibri"/>
          <w:b/>
          <w:u w:val="single"/>
        </w:rPr>
        <w:t>: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Budapest, XVI. kerület, Bökényföldi út 122. szám alatti </w:t>
      </w:r>
      <w:proofErr w:type="spellStart"/>
      <w:r>
        <w:rPr>
          <w:rFonts w:ascii="Calibri" w:hAnsi="Calibri" w:cs="Calibri"/>
        </w:rPr>
        <w:t>cinkotai</w:t>
      </w:r>
      <w:proofErr w:type="spellEnd"/>
      <w:r>
        <w:rPr>
          <w:rFonts w:ascii="Calibri" w:hAnsi="Calibri" w:cs="Calibri"/>
        </w:rPr>
        <w:t xml:space="preserve"> autóbusz járműtelep (</w:t>
      </w:r>
      <w:proofErr w:type="spellStart"/>
      <w:r>
        <w:rPr>
          <w:rFonts w:ascii="Calibri" w:hAnsi="Calibri" w:cs="Calibri"/>
        </w:rPr>
        <w:t>Cinkota</w:t>
      </w:r>
      <w:proofErr w:type="spellEnd"/>
      <w:r>
        <w:rPr>
          <w:rFonts w:ascii="Calibri" w:hAnsi="Calibri" w:cs="Calibri"/>
        </w:rPr>
        <w:t xml:space="preserve"> Divízió) irodaházának földszintjén található helyiségcsoport. K</w:t>
      </w:r>
      <w:r w:rsidRPr="009F4DDB">
        <w:rPr>
          <w:rFonts w:ascii="Calibri" w:hAnsi="Calibri" w:cs="Calibri"/>
        </w:rPr>
        <w:t>özterületi kapcsolat</w:t>
      </w:r>
      <w:r>
        <w:rPr>
          <w:rFonts w:ascii="Calibri" w:hAnsi="Calibri" w:cs="Calibri"/>
        </w:rPr>
        <w:t>a nincsen.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megfelelő.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gyalogosan, gépjárművel.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</w:t>
      </w:r>
      <w:r w:rsidRPr="009F4DDB">
        <w:rPr>
          <w:rFonts w:ascii="Calibri" w:hAnsi="Calibri" w:cs="Calibri"/>
        </w:rPr>
        <w:t xml:space="preserve">. </w:t>
      </w: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</w:p>
    <w:p w:rsidR="00D220D0" w:rsidRPr="009F4DDB" w:rsidRDefault="00D220D0" w:rsidP="00D220D0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üzemi büfé.</w:t>
      </w:r>
      <w:r w:rsidRPr="009F4DDB">
        <w:rPr>
          <w:rFonts w:ascii="Calibri" w:hAnsi="Calibri" w:cs="Calibri"/>
        </w:rPr>
        <w:tab/>
      </w:r>
    </w:p>
    <w:p w:rsidR="00D220D0" w:rsidRPr="009F4DDB" w:rsidRDefault="00D220D0" w:rsidP="00D220D0">
      <w:pPr>
        <w:ind w:left="1068"/>
        <w:jc w:val="both"/>
        <w:rPr>
          <w:rFonts w:ascii="Calibri" w:hAnsi="Calibri" w:cs="Calibri"/>
        </w:rPr>
      </w:pPr>
    </w:p>
    <w:p w:rsidR="00D220D0" w:rsidRPr="00D220D0" w:rsidRDefault="00D220D0" w:rsidP="00D220D0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220D0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D220D0" w:rsidRPr="00D220D0" w:rsidRDefault="00D220D0" w:rsidP="00D220D0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220D0">
        <w:rPr>
          <w:rFonts w:ascii="Calibri" w:eastAsia="Calibri" w:hAnsi="Calibri" w:cs="Calibri"/>
          <w:sz w:val="24"/>
          <w:szCs w:val="24"/>
        </w:rPr>
        <w:t>közműdíjak</w:t>
      </w:r>
    </w:p>
    <w:p w:rsidR="00D220D0" w:rsidRPr="00D220D0" w:rsidRDefault="00D220D0" w:rsidP="00D220D0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D220D0" w:rsidRPr="00C04035" w:rsidRDefault="00D220D0" w:rsidP="00D220D0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C04035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D220D0" w:rsidRPr="00C04035" w:rsidRDefault="00D220D0" w:rsidP="00D220D0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04035">
        <w:rPr>
          <w:rFonts w:ascii="Calibri" w:eastAsia="Calibri" w:hAnsi="Calibri" w:cs="Calibri"/>
          <w:sz w:val="24"/>
          <w:szCs w:val="24"/>
        </w:rPr>
        <w:t>Ivóvíz ellátás: van</w:t>
      </w:r>
      <w:r w:rsidR="00454F11" w:rsidRPr="00C04035">
        <w:rPr>
          <w:rFonts w:ascii="Calibri" w:eastAsia="Calibri" w:hAnsi="Calibri" w:cs="Calibri"/>
          <w:sz w:val="24"/>
          <w:szCs w:val="24"/>
        </w:rPr>
        <w:t>, átalány elszámolással.</w:t>
      </w:r>
    </w:p>
    <w:p w:rsidR="00D220D0" w:rsidRPr="00C04035" w:rsidRDefault="00D220D0" w:rsidP="00D220D0">
      <w:pPr>
        <w:numPr>
          <w:ilvl w:val="1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04035">
        <w:rPr>
          <w:rFonts w:ascii="Calibri" w:eastAsia="Calibri" w:hAnsi="Calibri" w:cs="Calibri"/>
          <w:sz w:val="24"/>
          <w:szCs w:val="24"/>
        </w:rPr>
        <w:t xml:space="preserve">önálló mérőóra: </w:t>
      </w:r>
      <w:r w:rsidR="00454F11" w:rsidRPr="00C04035">
        <w:rPr>
          <w:rFonts w:ascii="Calibri" w:eastAsia="Calibri" w:hAnsi="Calibri" w:cs="Calibri"/>
          <w:sz w:val="24"/>
          <w:szCs w:val="24"/>
        </w:rPr>
        <w:t>nincs, nem kiépíthető.</w:t>
      </w:r>
    </w:p>
    <w:p w:rsidR="00D220D0" w:rsidRPr="00C04035" w:rsidRDefault="00D220D0" w:rsidP="00D220D0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04035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:rsidR="00D220D0" w:rsidRPr="00C04035" w:rsidRDefault="00D220D0" w:rsidP="00D220D0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04035">
        <w:rPr>
          <w:rFonts w:ascii="Calibri" w:eastAsia="Calibri" w:hAnsi="Calibri" w:cs="Calibri"/>
          <w:sz w:val="24"/>
          <w:szCs w:val="24"/>
        </w:rPr>
        <w:t>Elektromos energia: van</w:t>
      </w:r>
      <w:r w:rsidR="00454F11" w:rsidRPr="00C04035">
        <w:rPr>
          <w:rFonts w:ascii="Calibri" w:eastAsia="Calibri" w:hAnsi="Calibri" w:cs="Calibri"/>
          <w:sz w:val="24"/>
          <w:szCs w:val="24"/>
        </w:rPr>
        <w:t>, mért.</w:t>
      </w:r>
    </w:p>
    <w:p w:rsidR="00D220D0" w:rsidRPr="00C04035" w:rsidRDefault="00D220D0" w:rsidP="00D220D0">
      <w:pPr>
        <w:numPr>
          <w:ilvl w:val="1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04035">
        <w:rPr>
          <w:rFonts w:ascii="Calibri" w:eastAsia="Calibri" w:hAnsi="Calibri" w:cs="Calibri"/>
          <w:sz w:val="24"/>
          <w:szCs w:val="24"/>
        </w:rPr>
        <w:t>önálló mérőóra:</w:t>
      </w:r>
      <w:r w:rsidR="00454F11" w:rsidRPr="00C04035">
        <w:rPr>
          <w:rFonts w:ascii="Calibri" w:eastAsia="Calibri" w:hAnsi="Calibri" w:cs="Calibri"/>
          <w:sz w:val="24"/>
          <w:szCs w:val="24"/>
        </w:rPr>
        <w:t xml:space="preserve"> van</w:t>
      </w:r>
    </w:p>
    <w:p w:rsidR="00D220D0" w:rsidRPr="00C04035" w:rsidRDefault="00D220D0" w:rsidP="00D220D0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04035">
        <w:rPr>
          <w:rFonts w:ascii="Calibri" w:eastAsia="Calibri" w:hAnsi="Calibri" w:cs="Calibri"/>
          <w:sz w:val="24"/>
          <w:szCs w:val="24"/>
        </w:rPr>
        <w:t xml:space="preserve">Gázellátás: </w:t>
      </w:r>
      <w:r w:rsidR="00454F11" w:rsidRPr="00C04035">
        <w:rPr>
          <w:rFonts w:ascii="Calibri" w:eastAsia="Calibri" w:hAnsi="Calibri" w:cs="Calibri"/>
          <w:sz w:val="24"/>
          <w:szCs w:val="24"/>
        </w:rPr>
        <w:t>nincs, nem kiépíthető.</w:t>
      </w:r>
    </w:p>
    <w:p w:rsidR="00D220D0" w:rsidRPr="00C04035" w:rsidRDefault="00D220D0" w:rsidP="00D220D0">
      <w:pPr>
        <w:numPr>
          <w:ilvl w:val="1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C04035">
        <w:rPr>
          <w:rFonts w:ascii="Calibri" w:eastAsia="Calibri" w:hAnsi="Calibri" w:cs="Calibri"/>
          <w:sz w:val="24"/>
          <w:szCs w:val="24"/>
        </w:rPr>
        <w:t>önálló mérőóra:</w:t>
      </w:r>
      <w:r w:rsidR="00454F11" w:rsidRPr="00C04035">
        <w:rPr>
          <w:rFonts w:ascii="Calibri" w:eastAsia="Calibri" w:hAnsi="Calibri" w:cs="Calibri"/>
          <w:sz w:val="24"/>
          <w:szCs w:val="24"/>
        </w:rPr>
        <w:t xml:space="preserve"> nincs</w:t>
      </w:r>
    </w:p>
    <w:p w:rsidR="00D220D0" w:rsidRPr="00D220D0" w:rsidRDefault="00D220D0" w:rsidP="00D220D0">
      <w:pPr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D220D0" w:rsidRPr="00D220D0" w:rsidRDefault="00D220D0" w:rsidP="00D220D0">
      <w:pPr>
        <w:outlineLvl w:val="2"/>
        <w:rPr>
          <w:rFonts w:ascii="Calibri" w:eastAsia="Calibri" w:hAnsi="Calibri" w:cs="Calibri"/>
          <w:sz w:val="24"/>
          <w:szCs w:val="24"/>
        </w:rPr>
      </w:pPr>
      <w:r w:rsidRPr="00D220D0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D220D0" w:rsidRDefault="000D530E" w:rsidP="00D220D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bérlemény jelenleg használaton kívül</w:t>
      </w:r>
      <w:r w:rsidR="00733765">
        <w:rPr>
          <w:rFonts w:ascii="Calibri" w:eastAsia="Calibri" w:hAnsi="Calibri" w:cs="Calibri"/>
          <w:sz w:val="24"/>
          <w:szCs w:val="24"/>
        </w:rPr>
        <w:t xml:space="preserve"> van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D530E" w:rsidRDefault="000D530E" w:rsidP="000D530E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 berendezése (kiszolgálópult, asztalok, székek, stb.) szükséges.</w:t>
      </w:r>
    </w:p>
    <w:p w:rsidR="000D530E" w:rsidRPr="00D220D0" w:rsidRDefault="000D530E" w:rsidP="00D220D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AF692E" w:rsidRDefault="00AF692E" w:rsidP="00D220D0">
      <w:pPr>
        <w:outlineLvl w:val="2"/>
        <w:rPr>
          <w:rFonts w:ascii="Calibri" w:eastAsia="Calibri" w:hAnsi="Calibri" w:cs="Calibri"/>
        </w:rPr>
      </w:pPr>
    </w:p>
    <w:p w:rsidR="00D220D0" w:rsidRPr="00D220D0" w:rsidRDefault="00D220D0" w:rsidP="00D220D0">
      <w:pPr>
        <w:outlineLvl w:val="2"/>
        <w:rPr>
          <w:rFonts w:ascii="Calibri" w:eastAsia="Calibri" w:hAnsi="Calibri" w:cs="Calibri"/>
          <w:sz w:val="24"/>
          <w:szCs w:val="24"/>
        </w:rPr>
      </w:pPr>
      <w:r w:rsidRPr="00D220D0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5753100" cy="4314825"/>
            <wp:effectExtent l="0" t="4763" r="0" b="0"/>
            <wp:docPr id="6" name="Kép 6" descr="C:\Users\gyurkins\Pictures\20220503_11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yurkins\Pictures\20220503_1126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Default="00D220D0" w:rsidP="00D220D0">
      <w:pPr>
        <w:outlineLvl w:val="2"/>
        <w:rPr>
          <w:rFonts w:ascii="Calibri" w:eastAsia="Calibri" w:hAnsi="Calibri" w:cs="Calibri"/>
        </w:rPr>
      </w:pPr>
    </w:p>
    <w:p w:rsidR="00D220D0" w:rsidRPr="00D220D0" w:rsidRDefault="00D220D0" w:rsidP="00D220D0">
      <w:pPr>
        <w:outlineLvl w:val="2"/>
        <w:rPr>
          <w:rFonts w:ascii="Calibri" w:eastAsia="Calibri" w:hAnsi="Calibri" w:cs="Calibri"/>
          <w:sz w:val="24"/>
          <w:szCs w:val="24"/>
        </w:rPr>
      </w:pPr>
      <w:r w:rsidRPr="00D220D0">
        <w:rPr>
          <w:rFonts w:ascii="Calibri" w:eastAsia="Calibri" w:hAnsi="Calibri" w:cs="Calibri"/>
          <w:sz w:val="24"/>
          <w:szCs w:val="24"/>
        </w:rPr>
        <w:lastRenderedPageBreak/>
        <w:t>Bérlemény alaprajza:</w:t>
      </w:r>
    </w:p>
    <w:p w:rsidR="00D220D0" w:rsidRDefault="00D220D0" w:rsidP="00D220D0">
      <w:pPr>
        <w:pStyle w:val="Nincstrkz"/>
        <w:rPr>
          <w:sz w:val="20"/>
          <w:szCs w:val="20"/>
        </w:rPr>
      </w:pPr>
    </w:p>
    <w:p w:rsidR="00D220D0" w:rsidRDefault="00D220D0" w:rsidP="00D220D0">
      <w:pPr>
        <w:pStyle w:val="Nincstrkz"/>
        <w:rPr>
          <w:sz w:val="20"/>
          <w:szCs w:val="20"/>
          <w:u w:val="none"/>
          <w:vertAlign w:val="superscript"/>
        </w:rPr>
      </w:pPr>
      <w:r w:rsidRPr="00465F86">
        <w:rPr>
          <w:sz w:val="20"/>
          <w:szCs w:val="20"/>
        </w:rPr>
        <w:t>Bérlemény alaprajz</w:t>
      </w:r>
      <w:r w:rsidRPr="00465F86">
        <w:rPr>
          <w:sz w:val="20"/>
          <w:szCs w:val="20"/>
          <w:u w:val="none"/>
        </w:rPr>
        <w:t xml:space="preserve">: </w:t>
      </w:r>
      <w:r>
        <w:rPr>
          <w:sz w:val="20"/>
          <w:szCs w:val="20"/>
          <w:u w:val="none"/>
        </w:rPr>
        <w:t>104</w:t>
      </w:r>
      <w:r w:rsidRPr="00465F86">
        <w:rPr>
          <w:sz w:val="20"/>
          <w:szCs w:val="20"/>
          <w:u w:val="none"/>
        </w:rPr>
        <w:t xml:space="preserve"> m</w:t>
      </w:r>
      <w:r w:rsidRPr="00465F86">
        <w:rPr>
          <w:sz w:val="20"/>
          <w:szCs w:val="20"/>
          <w:u w:val="none"/>
          <w:vertAlign w:val="superscript"/>
        </w:rPr>
        <w:t>2</w:t>
      </w:r>
    </w:p>
    <w:p w:rsidR="00D220D0" w:rsidRPr="00961A50" w:rsidRDefault="00D220D0" w:rsidP="00D220D0">
      <w:pPr>
        <w:pStyle w:val="Nincstrkz"/>
        <w:rPr>
          <w:sz w:val="20"/>
          <w:szCs w:val="20"/>
          <w:u w:val="none"/>
          <w:vertAlign w:val="superscript"/>
        </w:rPr>
      </w:pPr>
    </w:p>
    <w:p w:rsidR="00D220D0" w:rsidRDefault="00D220D0" w:rsidP="00D220D0">
      <w:pPr>
        <w:pStyle w:val="Nincstrkz"/>
        <w:jc w:val="center"/>
      </w:pPr>
      <w:r w:rsidRPr="00601D86">
        <w:rPr>
          <w:noProof/>
          <w:lang w:eastAsia="hu-HU"/>
        </w:rPr>
        <w:drawing>
          <wp:inline distT="0" distB="0" distL="0" distR="0">
            <wp:extent cx="5048250" cy="40671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0D0" w:rsidRDefault="00D220D0" w:rsidP="00D220D0">
      <w:pPr>
        <w:outlineLvl w:val="2"/>
        <w:rPr>
          <w:rFonts w:ascii="Calibri" w:hAnsi="Calibri" w:cs="Calibri"/>
        </w:rPr>
      </w:pPr>
    </w:p>
    <w:p w:rsidR="00D220D0" w:rsidRPr="009F4DDB" w:rsidRDefault="00D220D0" w:rsidP="000D530E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Ingatlanhasznosítási Osztály</w:t>
      </w:r>
    </w:p>
    <w:p w:rsidR="00D220D0" w:rsidRPr="009F4DDB" w:rsidRDefault="00D220D0" w:rsidP="00D220D0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Készült:</w:t>
      </w:r>
      <w:r w:rsidR="00967A20">
        <w:rPr>
          <w:rFonts w:ascii="Calibri" w:hAnsi="Calibri" w:cs="Calibri"/>
        </w:rPr>
        <w:t xml:space="preserve"> 2023. április</w:t>
      </w:r>
    </w:p>
    <w:p w:rsidR="00D220D0" w:rsidRPr="005B4E72" w:rsidRDefault="00D220D0" w:rsidP="005B4E72">
      <w:pPr>
        <w:tabs>
          <w:tab w:val="left" w:pos="2977"/>
          <w:tab w:val="left" w:pos="3261"/>
        </w:tabs>
        <w:spacing w:after="0" w:line="360" w:lineRule="auto"/>
      </w:pPr>
    </w:p>
    <w:sectPr w:rsidR="00D220D0" w:rsidRPr="005B4E72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8E5" w:rsidRDefault="007758E5" w:rsidP="00C01EE0">
      <w:pPr>
        <w:spacing w:after="0" w:line="240" w:lineRule="auto"/>
      </w:pPr>
      <w:r>
        <w:separator/>
      </w:r>
    </w:p>
  </w:endnote>
  <w:endnote w:type="continuationSeparator" w:id="0">
    <w:p w:rsidR="007758E5" w:rsidRDefault="007758E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D8D">
          <w:rPr>
            <w:noProof/>
          </w:rPr>
          <w:t>9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8E5" w:rsidRDefault="007758E5" w:rsidP="00C01EE0">
      <w:pPr>
        <w:spacing w:after="0" w:line="240" w:lineRule="auto"/>
      </w:pPr>
      <w:r>
        <w:separator/>
      </w:r>
    </w:p>
  </w:footnote>
  <w:footnote w:type="continuationSeparator" w:id="0">
    <w:p w:rsidR="007758E5" w:rsidRDefault="007758E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840750"/>
    <w:multiLevelType w:val="hybridMultilevel"/>
    <w:tmpl w:val="76981702"/>
    <w:lvl w:ilvl="0" w:tplc="2872E1EA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21"/>
  </w:num>
  <w:num w:numId="11">
    <w:abstractNumId w:val="0"/>
  </w:num>
  <w:num w:numId="12">
    <w:abstractNumId w:val="18"/>
  </w:num>
  <w:num w:numId="13">
    <w:abstractNumId w:val="15"/>
  </w:num>
  <w:num w:numId="14">
    <w:abstractNumId w:val="12"/>
  </w:num>
  <w:num w:numId="15">
    <w:abstractNumId w:val="16"/>
  </w:num>
  <w:num w:numId="16">
    <w:abstractNumId w:val="13"/>
  </w:num>
  <w:num w:numId="17">
    <w:abstractNumId w:val="3"/>
  </w:num>
  <w:num w:numId="18">
    <w:abstractNumId w:val="19"/>
  </w:num>
  <w:num w:numId="19">
    <w:abstractNumId w:val="2"/>
  </w:num>
  <w:num w:numId="20">
    <w:abstractNumId w:val="8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6A19"/>
    <w:rsid w:val="00010459"/>
    <w:rsid w:val="00017729"/>
    <w:rsid w:val="00033C38"/>
    <w:rsid w:val="000400F9"/>
    <w:rsid w:val="000401AF"/>
    <w:rsid w:val="00047133"/>
    <w:rsid w:val="000621BF"/>
    <w:rsid w:val="0007247D"/>
    <w:rsid w:val="00075205"/>
    <w:rsid w:val="0008176A"/>
    <w:rsid w:val="000B38B7"/>
    <w:rsid w:val="000B4825"/>
    <w:rsid w:val="000B522A"/>
    <w:rsid w:val="000B580D"/>
    <w:rsid w:val="000C6FFB"/>
    <w:rsid w:val="000D530E"/>
    <w:rsid w:val="000D6F4A"/>
    <w:rsid w:val="000E389D"/>
    <w:rsid w:val="000F4C28"/>
    <w:rsid w:val="00104389"/>
    <w:rsid w:val="00113D1A"/>
    <w:rsid w:val="00126CEE"/>
    <w:rsid w:val="00127670"/>
    <w:rsid w:val="00146C8A"/>
    <w:rsid w:val="001470B5"/>
    <w:rsid w:val="001637F9"/>
    <w:rsid w:val="00195C95"/>
    <w:rsid w:val="001969EF"/>
    <w:rsid w:val="001B3A0C"/>
    <w:rsid w:val="001D1A1C"/>
    <w:rsid w:val="001D7723"/>
    <w:rsid w:val="001E0A97"/>
    <w:rsid w:val="001F77C5"/>
    <w:rsid w:val="001F7BAB"/>
    <w:rsid w:val="0020096A"/>
    <w:rsid w:val="00213FFF"/>
    <w:rsid w:val="0021435C"/>
    <w:rsid w:val="0022121A"/>
    <w:rsid w:val="00236AF2"/>
    <w:rsid w:val="00271683"/>
    <w:rsid w:val="00290E0B"/>
    <w:rsid w:val="002B0EAB"/>
    <w:rsid w:val="002B1549"/>
    <w:rsid w:val="002B2667"/>
    <w:rsid w:val="002B394F"/>
    <w:rsid w:val="002B78C4"/>
    <w:rsid w:val="002C0BCA"/>
    <w:rsid w:val="002C6099"/>
    <w:rsid w:val="002E1106"/>
    <w:rsid w:val="002E445A"/>
    <w:rsid w:val="002E6DFF"/>
    <w:rsid w:val="002F3104"/>
    <w:rsid w:val="003016CC"/>
    <w:rsid w:val="003331B9"/>
    <w:rsid w:val="00341C72"/>
    <w:rsid w:val="00342E93"/>
    <w:rsid w:val="00345463"/>
    <w:rsid w:val="00360906"/>
    <w:rsid w:val="003701E3"/>
    <w:rsid w:val="003956C1"/>
    <w:rsid w:val="00397437"/>
    <w:rsid w:val="003C1A3E"/>
    <w:rsid w:val="003C5158"/>
    <w:rsid w:val="003D219F"/>
    <w:rsid w:val="003E5EFF"/>
    <w:rsid w:val="003F6B37"/>
    <w:rsid w:val="00407740"/>
    <w:rsid w:val="0041734B"/>
    <w:rsid w:val="0045081D"/>
    <w:rsid w:val="00454BD8"/>
    <w:rsid w:val="00454F11"/>
    <w:rsid w:val="00485355"/>
    <w:rsid w:val="004911D9"/>
    <w:rsid w:val="004A358E"/>
    <w:rsid w:val="004A55D0"/>
    <w:rsid w:val="004C4BC7"/>
    <w:rsid w:val="004D0890"/>
    <w:rsid w:val="004D555C"/>
    <w:rsid w:val="004D7475"/>
    <w:rsid w:val="00506930"/>
    <w:rsid w:val="00514191"/>
    <w:rsid w:val="00517719"/>
    <w:rsid w:val="005220E0"/>
    <w:rsid w:val="00524AF7"/>
    <w:rsid w:val="00530699"/>
    <w:rsid w:val="00532236"/>
    <w:rsid w:val="00581477"/>
    <w:rsid w:val="00585B7C"/>
    <w:rsid w:val="00591105"/>
    <w:rsid w:val="00597CC3"/>
    <w:rsid w:val="005A64B7"/>
    <w:rsid w:val="005B4E72"/>
    <w:rsid w:val="005B56C5"/>
    <w:rsid w:val="005C491B"/>
    <w:rsid w:val="005C7BD8"/>
    <w:rsid w:val="005E23BC"/>
    <w:rsid w:val="005E63EA"/>
    <w:rsid w:val="005E7406"/>
    <w:rsid w:val="005E7B5D"/>
    <w:rsid w:val="00610D43"/>
    <w:rsid w:val="00630ADF"/>
    <w:rsid w:val="006332C2"/>
    <w:rsid w:val="0065463E"/>
    <w:rsid w:val="00657824"/>
    <w:rsid w:val="006601B2"/>
    <w:rsid w:val="00667A4C"/>
    <w:rsid w:val="006729C3"/>
    <w:rsid w:val="00673049"/>
    <w:rsid w:val="00683765"/>
    <w:rsid w:val="006A4376"/>
    <w:rsid w:val="006B2B81"/>
    <w:rsid w:val="006B4915"/>
    <w:rsid w:val="0071214F"/>
    <w:rsid w:val="00713919"/>
    <w:rsid w:val="00733765"/>
    <w:rsid w:val="00741489"/>
    <w:rsid w:val="0075630B"/>
    <w:rsid w:val="007758E5"/>
    <w:rsid w:val="00790B99"/>
    <w:rsid w:val="007A63DC"/>
    <w:rsid w:val="007B1C17"/>
    <w:rsid w:val="007D27C3"/>
    <w:rsid w:val="00817EBD"/>
    <w:rsid w:val="00823999"/>
    <w:rsid w:val="00861BC8"/>
    <w:rsid w:val="00872E21"/>
    <w:rsid w:val="008746B4"/>
    <w:rsid w:val="00875FE3"/>
    <w:rsid w:val="00881F11"/>
    <w:rsid w:val="00887547"/>
    <w:rsid w:val="008A37BC"/>
    <w:rsid w:val="008B1F16"/>
    <w:rsid w:val="008B3B5F"/>
    <w:rsid w:val="008C43D8"/>
    <w:rsid w:val="008C4F41"/>
    <w:rsid w:val="008D5A66"/>
    <w:rsid w:val="008D5F23"/>
    <w:rsid w:val="00913BCE"/>
    <w:rsid w:val="009238E5"/>
    <w:rsid w:val="00927B28"/>
    <w:rsid w:val="00942A43"/>
    <w:rsid w:val="00954DA2"/>
    <w:rsid w:val="00964493"/>
    <w:rsid w:val="00967A20"/>
    <w:rsid w:val="00977358"/>
    <w:rsid w:val="00980B46"/>
    <w:rsid w:val="00983E14"/>
    <w:rsid w:val="00997682"/>
    <w:rsid w:val="009A1929"/>
    <w:rsid w:val="009A2218"/>
    <w:rsid w:val="009A6CB6"/>
    <w:rsid w:val="009B70A7"/>
    <w:rsid w:val="009B7224"/>
    <w:rsid w:val="009D5255"/>
    <w:rsid w:val="009E0AF1"/>
    <w:rsid w:val="00A12BB9"/>
    <w:rsid w:val="00A140D9"/>
    <w:rsid w:val="00A1557D"/>
    <w:rsid w:val="00A30A1E"/>
    <w:rsid w:val="00A3226D"/>
    <w:rsid w:val="00A35B86"/>
    <w:rsid w:val="00A4434C"/>
    <w:rsid w:val="00A44428"/>
    <w:rsid w:val="00A4496B"/>
    <w:rsid w:val="00A50CDB"/>
    <w:rsid w:val="00A572CC"/>
    <w:rsid w:val="00A574B2"/>
    <w:rsid w:val="00A6738E"/>
    <w:rsid w:val="00A67883"/>
    <w:rsid w:val="00A77501"/>
    <w:rsid w:val="00A804BA"/>
    <w:rsid w:val="00A976AE"/>
    <w:rsid w:val="00AA3D89"/>
    <w:rsid w:val="00AB243D"/>
    <w:rsid w:val="00AB4D54"/>
    <w:rsid w:val="00AC3F8E"/>
    <w:rsid w:val="00AD3D94"/>
    <w:rsid w:val="00AD3FDA"/>
    <w:rsid w:val="00AF2AE8"/>
    <w:rsid w:val="00AF692E"/>
    <w:rsid w:val="00B13B03"/>
    <w:rsid w:val="00B169A4"/>
    <w:rsid w:val="00B4487D"/>
    <w:rsid w:val="00B45FE5"/>
    <w:rsid w:val="00B54494"/>
    <w:rsid w:val="00B564DB"/>
    <w:rsid w:val="00B64F4B"/>
    <w:rsid w:val="00B7758E"/>
    <w:rsid w:val="00B83E24"/>
    <w:rsid w:val="00B91393"/>
    <w:rsid w:val="00BB4534"/>
    <w:rsid w:val="00BC32B1"/>
    <w:rsid w:val="00BC47F0"/>
    <w:rsid w:val="00BD31C2"/>
    <w:rsid w:val="00BD3451"/>
    <w:rsid w:val="00BD535D"/>
    <w:rsid w:val="00C01EE0"/>
    <w:rsid w:val="00C04035"/>
    <w:rsid w:val="00C04090"/>
    <w:rsid w:val="00C068F9"/>
    <w:rsid w:val="00C11FCF"/>
    <w:rsid w:val="00C34CD1"/>
    <w:rsid w:val="00C3584F"/>
    <w:rsid w:val="00C449C6"/>
    <w:rsid w:val="00C51C49"/>
    <w:rsid w:val="00C544F7"/>
    <w:rsid w:val="00C615CF"/>
    <w:rsid w:val="00C63268"/>
    <w:rsid w:val="00C91AE0"/>
    <w:rsid w:val="00C92020"/>
    <w:rsid w:val="00C9364F"/>
    <w:rsid w:val="00CA1F74"/>
    <w:rsid w:val="00CA2D9C"/>
    <w:rsid w:val="00CA573A"/>
    <w:rsid w:val="00CC1C7C"/>
    <w:rsid w:val="00CD7FBB"/>
    <w:rsid w:val="00CF6A62"/>
    <w:rsid w:val="00D03186"/>
    <w:rsid w:val="00D1047C"/>
    <w:rsid w:val="00D10FD2"/>
    <w:rsid w:val="00D16575"/>
    <w:rsid w:val="00D2204C"/>
    <w:rsid w:val="00D220D0"/>
    <w:rsid w:val="00D228CF"/>
    <w:rsid w:val="00D322DA"/>
    <w:rsid w:val="00D472C0"/>
    <w:rsid w:val="00D66998"/>
    <w:rsid w:val="00D84275"/>
    <w:rsid w:val="00D84286"/>
    <w:rsid w:val="00DB13EA"/>
    <w:rsid w:val="00DB349F"/>
    <w:rsid w:val="00DB38E0"/>
    <w:rsid w:val="00DB7A44"/>
    <w:rsid w:val="00DC0DA5"/>
    <w:rsid w:val="00DC7F2E"/>
    <w:rsid w:val="00DE0AD5"/>
    <w:rsid w:val="00DE6061"/>
    <w:rsid w:val="00E0775E"/>
    <w:rsid w:val="00E10B6B"/>
    <w:rsid w:val="00E1217F"/>
    <w:rsid w:val="00E27EE9"/>
    <w:rsid w:val="00E72188"/>
    <w:rsid w:val="00E83463"/>
    <w:rsid w:val="00E83A68"/>
    <w:rsid w:val="00EA053C"/>
    <w:rsid w:val="00EA268C"/>
    <w:rsid w:val="00EB076A"/>
    <w:rsid w:val="00EB6ACA"/>
    <w:rsid w:val="00ED0F68"/>
    <w:rsid w:val="00ED1A51"/>
    <w:rsid w:val="00ED23A6"/>
    <w:rsid w:val="00EE3731"/>
    <w:rsid w:val="00EE487B"/>
    <w:rsid w:val="00EE657C"/>
    <w:rsid w:val="00EF54CD"/>
    <w:rsid w:val="00F00D8D"/>
    <w:rsid w:val="00F8277E"/>
    <w:rsid w:val="00FB43AE"/>
    <w:rsid w:val="00FB6584"/>
    <w:rsid w:val="00FC1BE8"/>
    <w:rsid w:val="00FD44B1"/>
    <w:rsid w:val="00FD7069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D220D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20D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D220D0"/>
    <w:pPr>
      <w:spacing w:after="0" w:line="240" w:lineRule="auto"/>
    </w:pPr>
    <w:rPr>
      <w:rFonts w:ascii="Book Antiqua" w:eastAsia="Calibri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1670</Words>
  <Characters>11525</Characters>
  <Application>Microsoft Office Word</Application>
  <DocSecurity>0</DocSecurity>
  <Lines>96</Lines>
  <Paragraphs>26</Paragraphs>
  <ScaleCrop>false</ScaleCrop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2023-04-12T12:37:00Z</dcterms:created>
  <dcterms:modified xsi:type="dcterms:W3CDTF">2023-04-12T12:37:00Z</dcterms:modified>
</cp:coreProperties>
</file>