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C97E5E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15.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F7A81" w:rsidTr="003016CC">
        <w:tc>
          <w:tcPr>
            <w:tcW w:w="2126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7A81" w:rsidRDefault="003016CC" w:rsidP="0027168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F7A81" w:rsidTr="003016CC">
        <w:tc>
          <w:tcPr>
            <w:tcW w:w="2126" w:type="dxa"/>
          </w:tcPr>
          <w:p w:rsidR="003016CC" w:rsidRPr="00CF7A81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FD4E34" w:rsidRDefault="00D46AC9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sz w:val="24"/>
                <w:szCs w:val="24"/>
              </w:rPr>
              <w:t>3 x 20</w:t>
            </w:r>
            <w:r w:rsidR="008F2ACA" w:rsidRPr="00FD4E34">
              <w:rPr>
                <w:sz w:val="24"/>
                <w:szCs w:val="24"/>
              </w:rPr>
              <w:t xml:space="preserve">A, </w:t>
            </w:r>
            <w:r w:rsidR="008F2ACA" w:rsidRPr="00FD4E34">
              <w:rPr>
                <w:rFonts w:ascii="Calibri" w:hAnsi="Calibri" w:cs="Times New Roman"/>
                <w:sz w:val="24"/>
                <w:szCs w:val="24"/>
              </w:rPr>
              <w:t xml:space="preserve">12,42 </w:t>
            </w:r>
            <w:r w:rsidR="008F2ACA" w:rsidRPr="00FD4E34">
              <w:rPr>
                <w:sz w:val="24"/>
                <w:szCs w:val="24"/>
              </w:rPr>
              <w:t xml:space="preserve">kW </w:t>
            </w:r>
          </w:p>
        </w:tc>
      </w:tr>
      <w:tr w:rsidR="003C5158" w:rsidRPr="00F53F19" w:rsidTr="003016CC">
        <w:tc>
          <w:tcPr>
            <w:tcW w:w="2126" w:type="dxa"/>
          </w:tcPr>
          <w:p w:rsidR="003C5158" w:rsidRPr="00553B7D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3C5158" w:rsidRPr="00FD4E34" w:rsidRDefault="008F2AC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FD4E34">
              <w:rPr>
                <w:rFonts w:cs="Arial"/>
                <w:sz w:val="24"/>
                <w:szCs w:val="24"/>
              </w:rPr>
              <w:t>0,8 m</w:t>
            </w:r>
            <w:r w:rsidRPr="00FD4E3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FD4E34">
              <w:rPr>
                <w:rFonts w:cs="Arial"/>
                <w:sz w:val="24"/>
                <w:szCs w:val="24"/>
              </w:rPr>
              <w:t xml:space="preserve">/nap 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FD4E34" w:rsidRPr="00581477" w:rsidRDefault="00FD4E34" w:rsidP="00FD4E3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 tartozékokkal, berendezési tárgyakkal együtt kerül bérbeadásra, és a bérleti időszak alatt ezek hiánytalan meglétéről, épségük megőrzéséről a nyertes pályázó tartozik felelősséggel.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D46AC9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2017. </w:t>
      </w:r>
      <w:r w:rsidR="00D46AC9">
        <w:rPr>
          <w:rFonts w:eastAsia="Times New Roman" w:cs="Times New Roman"/>
          <w:b/>
          <w:color w:val="000000"/>
          <w:sz w:val="24"/>
          <w:szCs w:val="24"/>
          <w:lang w:eastAsia="hu-HU"/>
        </w:rPr>
        <w:t>szeptember 06-á</w:t>
      </w:r>
      <w:r w:rsidR="00741582" w:rsidRPr="00D46AC9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D46AC9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D46AC9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D46AC9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D46AC9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D46AC9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D46AC9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D46AC9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D46AC9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D46AC9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ondnokság (tel.: 461-6500/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28497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lejártáig tartó időszakban, </w:t>
      </w:r>
      <w:r w:rsidR="00C4265D">
        <w:rPr>
          <w:rFonts w:ascii="Calibri" w:eastAsia="Times New Roman" w:hAnsi="Calibri" w:cs="Calibri"/>
          <w:b/>
          <w:sz w:val="24"/>
          <w:szCs w:val="24"/>
          <w:lang w:eastAsia="hu-HU"/>
        </w:rPr>
        <w:t>kedden és csütörtökön 08.00 – 10.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C426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52068C" w:rsidP="00826829">
      <w:pPr>
        <w:tabs>
          <w:tab w:val="left" w:pos="1418"/>
          <w:tab w:val="left" w:pos="2977"/>
        </w:tabs>
        <w:spacing w:after="0" w:line="360" w:lineRule="auto"/>
      </w:pPr>
      <w:r w:rsidRPr="00AE3493">
        <w:rPr>
          <w:noProof/>
          <w:lang w:eastAsia="hu-HU"/>
        </w:rPr>
        <w:drawing>
          <wp:inline distT="0" distB="0" distL="0" distR="0">
            <wp:extent cx="3981450" cy="2987732"/>
            <wp:effectExtent l="0" t="0" r="0" b="3175"/>
            <wp:docPr id="3" name="Kép 3" descr="D:\Dokumentumok\Munka\2012 Képek\Óbuda ÜE\Átvétel\Pult, mosogat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D:\Dokumentumok\Munka\2012 Képek\Óbuda ÜE\Átvétel\Pult, mosogat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443" cy="29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E0" w:rsidRDefault="002B22E0" w:rsidP="00C01EE0">
      <w:pPr>
        <w:spacing w:after="0" w:line="240" w:lineRule="auto"/>
      </w:pPr>
      <w:r>
        <w:separator/>
      </w:r>
    </w:p>
  </w:endnote>
  <w:endnote w:type="continuationSeparator" w:id="0">
    <w:p w:rsidR="002B22E0" w:rsidRDefault="002B22E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87" w:rsidRDefault="00D5798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2E0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87" w:rsidRDefault="00D579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E0" w:rsidRDefault="002B22E0" w:rsidP="00C01EE0">
      <w:pPr>
        <w:spacing w:after="0" w:line="240" w:lineRule="auto"/>
      </w:pPr>
      <w:r>
        <w:separator/>
      </w:r>
    </w:p>
  </w:footnote>
  <w:footnote w:type="continuationSeparator" w:id="0">
    <w:p w:rsidR="002B22E0" w:rsidRDefault="002B22E0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87" w:rsidRDefault="00D5798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87" w:rsidRDefault="00D5798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87" w:rsidRDefault="00D5798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714D6"/>
    <w:rsid w:val="00075205"/>
    <w:rsid w:val="0008176A"/>
    <w:rsid w:val="00087B04"/>
    <w:rsid w:val="000B522A"/>
    <w:rsid w:val="000B7A8F"/>
    <w:rsid w:val="000C6FFB"/>
    <w:rsid w:val="000D6F4A"/>
    <w:rsid w:val="000D718D"/>
    <w:rsid w:val="000E3439"/>
    <w:rsid w:val="000E389D"/>
    <w:rsid w:val="000F6097"/>
    <w:rsid w:val="00104389"/>
    <w:rsid w:val="00113D1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70CB"/>
    <w:rsid w:val="001B3A0C"/>
    <w:rsid w:val="001D7723"/>
    <w:rsid w:val="001E0A97"/>
    <w:rsid w:val="001E4556"/>
    <w:rsid w:val="001E6863"/>
    <w:rsid w:val="001E6F78"/>
    <w:rsid w:val="001F77C5"/>
    <w:rsid w:val="001F7BAB"/>
    <w:rsid w:val="00200798"/>
    <w:rsid w:val="0020096A"/>
    <w:rsid w:val="0020429B"/>
    <w:rsid w:val="00213FFF"/>
    <w:rsid w:val="0021435C"/>
    <w:rsid w:val="0022121A"/>
    <w:rsid w:val="00246BAC"/>
    <w:rsid w:val="002514BC"/>
    <w:rsid w:val="0026179B"/>
    <w:rsid w:val="00261830"/>
    <w:rsid w:val="00271683"/>
    <w:rsid w:val="002801FB"/>
    <w:rsid w:val="00290E0B"/>
    <w:rsid w:val="002A34F8"/>
    <w:rsid w:val="002B1549"/>
    <w:rsid w:val="002B22E0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5EFF"/>
    <w:rsid w:val="003F6432"/>
    <w:rsid w:val="003F6B37"/>
    <w:rsid w:val="00407740"/>
    <w:rsid w:val="0041734B"/>
    <w:rsid w:val="00443F83"/>
    <w:rsid w:val="0045081D"/>
    <w:rsid w:val="00454BD8"/>
    <w:rsid w:val="0045637D"/>
    <w:rsid w:val="00463B32"/>
    <w:rsid w:val="00480795"/>
    <w:rsid w:val="00485355"/>
    <w:rsid w:val="004911D9"/>
    <w:rsid w:val="004A2B21"/>
    <w:rsid w:val="004C4BC7"/>
    <w:rsid w:val="004D0890"/>
    <w:rsid w:val="004D555C"/>
    <w:rsid w:val="004D727D"/>
    <w:rsid w:val="004F05E8"/>
    <w:rsid w:val="004F517D"/>
    <w:rsid w:val="00501312"/>
    <w:rsid w:val="00502A7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6E1A95"/>
    <w:rsid w:val="00701D4C"/>
    <w:rsid w:val="007063DA"/>
    <w:rsid w:val="0071214F"/>
    <w:rsid w:val="00733541"/>
    <w:rsid w:val="00741489"/>
    <w:rsid w:val="00741582"/>
    <w:rsid w:val="007518FD"/>
    <w:rsid w:val="00790B99"/>
    <w:rsid w:val="007A63DC"/>
    <w:rsid w:val="007D27C3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6CB6"/>
    <w:rsid w:val="009D2931"/>
    <w:rsid w:val="009D774C"/>
    <w:rsid w:val="009E0AF1"/>
    <w:rsid w:val="009E5F90"/>
    <w:rsid w:val="00A12BB9"/>
    <w:rsid w:val="00A165ED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C3F8E"/>
    <w:rsid w:val="00AC6993"/>
    <w:rsid w:val="00AD3D94"/>
    <w:rsid w:val="00AD3FDA"/>
    <w:rsid w:val="00AE1388"/>
    <w:rsid w:val="00AE3D2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E5EAC"/>
    <w:rsid w:val="00BF0F99"/>
    <w:rsid w:val="00C01EE0"/>
    <w:rsid w:val="00C068F9"/>
    <w:rsid w:val="00C11FCF"/>
    <w:rsid w:val="00C13FA6"/>
    <w:rsid w:val="00C25DC5"/>
    <w:rsid w:val="00C34CD1"/>
    <w:rsid w:val="00C3584F"/>
    <w:rsid w:val="00C37B05"/>
    <w:rsid w:val="00C4265D"/>
    <w:rsid w:val="00C63268"/>
    <w:rsid w:val="00C63C0C"/>
    <w:rsid w:val="00C7066C"/>
    <w:rsid w:val="00C72F2A"/>
    <w:rsid w:val="00C91AE0"/>
    <w:rsid w:val="00C92020"/>
    <w:rsid w:val="00C9364F"/>
    <w:rsid w:val="00C97E5E"/>
    <w:rsid w:val="00CA2D9C"/>
    <w:rsid w:val="00CA573A"/>
    <w:rsid w:val="00CB6F64"/>
    <w:rsid w:val="00CC1C7C"/>
    <w:rsid w:val="00CC3425"/>
    <w:rsid w:val="00CD17EB"/>
    <w:rsid w:val="00CD7FBB"/>
    <w:rsid w:val="00CF6A62"/>
    <w:rsid w:val="00CF7A81"/>
    <w:rsid w:val="00D1047C"/>
    <w:rsid w:val="00D10FD2"/>
    <w:rsid w:val="00D12ADA"/>
    <w:rsid w:val="00D21AA7"/>
    <w:rsid w:val="00D2204C"/>
    <w:rsid w:val="00D322DA"/>
    <w:rsid w:val="00D4012E"/>
    <w:rsid w:val="00D46AC9"/>
    <w:rsid w:val="00D472C0"/>
    <w:rsid w:val="00D57987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7F2E"/>
    <w:rsid w:val="00DE0AD5"/>
    <w:rsid w:val="00DE34C0"/>
    <w:rsid w:val="00DE6061"/>
    <w:rsid w:val="00E0775E"/>
    <w:rsid w:val="00E1217F"/>
    <w:rsid w:val="00E27EE9"/>
    <w:rsid w:val="00E83A68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53F19"/>
    <w:rsid w:val="00F56127"/>
    <w:rsid w:val="00F8277E"/>
    <w:rsid w:val="00F95ED1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1A43-9207-4594-9B8A-8ACA7D09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10672</Characters>
  <Application>Microsoft Office Word</Application>
  <DocSecurity>0</DocSecurity>
  <Lines>88</Lines>
  <Paragraphs>24</Paragraphs>
  <ScaleCrop>false</ScaleCrop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2017-08-14T10:58:00Z</dcterms:created>
  <dcterms:modified xsi:type="dcterms:W3CDTF">2017-08-14T10:59:00Z</dcterms:modified>
</cp:coreProperties>
</file>